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9F2" w:rsidRPr="00C239F2" w:rsidRDefault="00C239F2" w:rsidP="00C239F2">
      <w:pPr>
        <w:jc w:val="center"/>
        <w:rPr>
          <w:b/>
        </w:rPr>
      </w:pPr>
      <w:r w:rsidRPr="00C239F2">
        <w:rPr>
          <w:b/>
        </w:rPr>
        <w:t>TPR – Direction for 2021 and beyond</w:t>
      </w:r>
    </w:p>
    <w:p w:rsidR="00A953C0" w:rsidRDefault="00A953C0"/>
    <w:p w:rsidR="00567606" w:rsidRDefault="00567606">
      <w:r>
        <w:t xml:space="preserve">In 2020, we saw stores take big ground in running better operations and taking care of Customers. This is shown most notably in OTD, TPR score, and Google ratings. We ran better stores in 2020! Now it’s time to push the envelope on operations even further. </w:t>
      </w:r>
    </w:p>
    <w:p w:rsidR="00567606" w:rsidRDefault="00567606">
      <w:r>
        <w:t>Our Mission is to be the best pizza company in the world by killing it on every detail of the Customer experience. Those are big shoes to fill, and we’ve got a fair amount of work to do to get there. One of the main ways we’ll strive for our Mission is to expect higher standards of ourselves and teams.</w:t>
      </w:r>
    </w:p>
    <w:p w:rsidR="00A953C0" w:rsidRDefault="00A953C0">
      <w:r>
        <w:t>Below are the TPR targets for franchise</w:t>
      </w:r>
      <w:r w:rsidR="001065E6">
        <w:t xml:space="preserve"> and PPI</w:t>
      </w:r>
      <w:r>
        <w:t xml:space="preserve"> locations. The targets are measured as the percentage of stores that score 90% or better. </w:t>
      </w:r>
    </w:p>
    <w:p w:rsidR="00A953C0" w:rsidRDefault="00A953C0"/>
    <w:p w:rsidR="00567606" w:rsidRPr="00A953C0" w:rsidRDefault="00A953C0">
      <w:pPr>
        <w:rPr>
          <w:b/>
        </w:rPr>
      </w:pPr>
      <w:r w:rsidRPr="00A953C0">
        <w:rPr>
          <w:b/>
        </w:rPr>
        <w:t>TPR Targets for 2021 – 2023</w:t>
      </w:r>
    </w:p>
    <w:tbl>
      <w:tblPr>
        <w:tblStyle w:val="TableGrid"/>
        <w:tblW w:w="0" w:type="auto"/>
        <w:jc w:val="center"/>
        <w:tblInd w:w="97" w:type="dxa"/>
        <w:tblLook w:val="04A0" w:firstRow="1" w:lastRow="0" w:firstColumn="1" w:lastColumn="0" w:noHBand="0" w:noVBand="1"/>
      </w:tblPr>
      <w:tblGrid>
        <w:gridCol w:w="2783"/>
        <w:gridCol w:w="1066"/>
        <w:gridCol w:w="1066"/>
        <w:gridCol w:w="1067"/>
        <w:gridCol w:w="1066"/>
        <w:gridCol w:w="1099"/>
        <w:gridCol w:w="1224"/>
      </w:tblGrid>
      <w:tr w:rsidR="00A953C0" w:rsidRPr="00050C42" w:rsidTr="001065E6">
        <w:trPr>
          <w:jc w:val="center"/>
        </w:trPr>
        <w:tc>
          <w:tcPr>
            <w:tcW w:w="2783" w:type="dxa"/>
          </w:tcPr>
          <w:p w:rsidR="00A953C0" w:rsidRPr="00050C42" w:rsidRDefault="00A953C0" w:rsidP="00AC1B23">
            <w:pPr>
              <w:jc w:val="both"/>
            </w:pPr>
          </w:p>
        </w:tc>
        <w:tc>
          <w:tcPr>
            <w:tcW w:w="1066" w:type="dxa"/>
            <w:vAlign w:val="center"/>
          </w:tcPr>
          <w:p w:rsidR="00A953C0" w:rsidRPr="00050C42" w:rsidRDefault="00A953C0" w:rsidP="00A953C0">
            <w:pPr>
              <w:jc w:val="center"/>
            </w:pPr>
            <w:r w:rsidRPr="00050C42">
              <w:t>Q1 2021</w:t>
            </w:r>
          </w:p>
        </w:tc>
        <w:tc>
          <w:tcPr>
            <w:tcW w:w="1066" w:type="dxa"/>
            <w:vAlign w:val="center"/>
          </w:tcPr>
          <w:p w:rsidR="00A953C0" w:rsidRPr="00050C42" w:rsidRDefault="00A953C0" w:rsidP="00A953C0">
            <w:pPr>
              <w:jc w:val="center"/>
            </w:pPr>
            <w:r w:rsidRPr="00050C42">
              <w:t>Q2 2021</w:t>
            </w:r>
          </w:p>
        </w:tc>
        <w:tc>
          <w:tcPr>
            <w:tcW w:w="1067" w:type="dxa"/>
            <w:vAlign w:val="center"/>
          </w:tcPr>
          <w:p w:rsidR="00A953C0" w:rsidRPr="00050C42" w:rsidRDefault="00A953C0" w:rsidP="00A953C0">
            <w:pPr>
              <w:jc w:val="center"/>
            </w:pPr>
            <w:r w:rsidRPr="00050C42">
              <w:t>Q3 2021</w:t>
            </w:r>
          </w:p>
        </w:tc>
        <w:tc>
          <w:tcPr>
            <w:tcW w:w="1066" w:type="dxa"/>
            <w:vAlign w:val="center"/>
          </w:tcPr>
          <w:p w:rsidR="00A953C0" w:rsidRPr="00050C42" w:rsidRDefault="00A953C0" w:rsidP="00A953C0">
            <w:pPr>
              <w:jc w:val="center"/>
            </w:pPr>
            <w:r w:rsidRPr="00050C42">
              <w:t>Q4 2021</w:t>
            </w:r>
          </w:p>
        </w:tc>
        <w:tc>
          <w:tcPr>
            <w:tcW w:w="1099" w:type="dxa"/>
            <w:vAlign w:val="center"/>
          </w:tcPr>
          <w:p w:rsidR="00A953C0" w:rsidRPr="00050C42" w:rsidRDefault="00A953C0" w:rsidP="00A953C0">
            <w:pPr>
              <w:jc w:val="center"/>
            </w:pPr>
            <w:r w:rsidRPr="00050C42">
              <w:t>2022</w:t>
            </w:r>
          </w:p>
        </w:tc>
        <w:tc>
          <w:tcPr>
            <w:tcW w:w="1224" w:type="dxa"/>
            <w:vAlign w:val="center"/>
          </w:tcPr>
          <w:p w:rsidR="00A953C0" w:rsidRPr="00050C42" w:rsidRDefault="00A953C0" w:rsidP="00A953C0">
            <w:pPr>
              <w:jc w:val="center"/>
            </w:pPr>
            <w:r w:rsidRPr="00050C42">
              <w:t>2023</w:t>
            </w:r>
          </w:p>
        </w:tc>
      </w:tr>
      <w:tr w:rsidR="00A953C0" w:rsidRPr="0070386A" w:rsidTr="001065E6">
        <w:trPr>
          <w:jc w:val="center"/>
        </w:trPr>
        <w:tc>
          <w:tcPr>
            <w:tcW w:w="2783" w:type="dxa"/>
          </w:tcPr>
          <w:p w:rsidR="00A953C0" w:rsidRPr="00050C42" w:rsidRDefault="00A953C0" w:rsidP="00AC1B23">
            <w:pPr>
              <w:jc w:val="both"/>
            </w:pPr>
            <w:r w:rsidRPr="00050C42">
              <w:t>% Zee stores &gt; 90 TPR</w:t>
            </w:r>
          </w:p>
        </w:tc>
        <w:tc>
          <w:tcPr>
            <w:tcW w:w="1066" w:type="dxa"/>
          </w:tcPr>
          <w:p w:rsidR="00A953C0" w:rsidRPr="00050C42" w:rsidRDefault="00A953C0" w:rsidP="00AC1B23">
            <w:pPr>
              <w:jc w:val="center"/>
              <w:rPr>
                <w:highlight w:val="yellow"/>
              </w:rPr>
            </w:pPr>
            <w:r w:rsidRPr="00050C42">
              <w:t>65%</w:t>
            </w:r>
          </w:p>
        </w:tc>
        <w:tc>
          <w:tcPr>
            <w:tcW w:w="1066" w:type="dxa"/>
          </w:tcPr>
          <w:p w:rsidR="00A953C0" w:rsidRPr="00050C42" w:rsidRDefault="00A953C0" w:rsidP="00AC1B23">
            <w:pPr>
              <w:jc w:val="center"/>
              <w:rPr>
                <w:highlight w:val="yellow"/>
              </w:rPr>
            </w:pPr>
            <w:r w:rsidRPr="00050C42">
              <w:t>69%</w:t>
            </w:r>
          </w:p>
        </w:tc>
        <w:tc>
          <w:tcPr>
            <w:tcW w:w="1067" w:type="dxa"/>
          </w:tcPr>
          <w:p w:rsidR="00A953C0" w:rsidRPr="00050C42" w:rsidRDefault="00A953C0" w:rsidP="00AC1B23">
            <w:pPr>
              <w:jc w:val="center"/>
              <w:rPr>
                <w:highlight w:val="yellow"/>
              </w:rPr>
            </w:pPr>
            <w:r w:rsidRPr="00050C42">
              <w:t>72%</w:t>
            </w:r>
          </w:p>
        </w:tc>
        <w:tc>
          <w:tcPr>
            <w:tcW w:w="1066" w:type="dxa"/>
          </w:tcPr>
          <w:p w:rsidR="00A953C0" w:rsidRPr="00050C42" w:rsidRDefault="00A953C0" w:rsidP="00AC1B23">
            <w:pPr>
              <w:jc w:val="center"/>
              <w:rPr>
                <w:highlight w:val="yellow"/>
              </w:rPr>
            </w:pPr>
            <w:r w:rsidRPr="00050C42">
              <w:t>74%</w:t>
            </w:r>
          </w:p>
        </w:tc>
        <w:tc>
          <w:tcPr>
            <w:tcW w:w="1099" w:type="dxa"/>
          </w:tcPr>
          <w:p w:rsidR="00A953C0" w:rsidRPr="0070386A" w:rsidRDefault="00A953C0" w:rsidP="00AC1B23">
            <w:pPr>
              <w:jc w:val="center"/>
            </w:pPr>
            <w:r w:rsidRPr="0070386A">
              <w:t>75%</w:t>
            </w:r>
          </w:p>
        </w:tc>
        <w:tc>
          <w:tcPr>
            <w:tcW w:w="1224" w:type="dxa"/>
          </w:tcPr>
          <w:p w:rsidR="00A953C0" w:rsidRPr="0070386A" w:rsidRDefault="00A953C0" w:rsidP="00AC1B23">
            <w:pPr>
              <w:jc w:val="center"/>
            </w:pPr>
            <w:r w:rsidRPr="0070386A">
              <w:t>77%</w:t>
            </w:r>
          </w:p>
        </w:tc>
      </w:tr>
      <w:tr w:rsidR="001065E6" w:rsidRPr="0070386A" w:rsidTr="001065E6">
        <w:trPr>
          <w:jc w:val="center"/>
        </w:trPr>
        <w:tc>
          <w:tcPr>
            <w:tcW w:w="2783" w:type="dxa"/>
          </w:tcPr>
          <w:p w:rsidR="001065E6" w:rsidRPr="00050C42" w:rsidRDefault="001065E6" w:rsidP="001065E6">
            <w:pPr>
              <w:jc w:val="both"/>
            </w:pPr>
            <w:r w:rsidRPr="00050C42">
              <w:t xml:space="preserve">% </w:t>
            </w:r>
            <w:r>
              <w:t>PPI</w:t>
            </w:r>
            <w:r w:rsidRPr="00050C42">
              <w:t xml:space="preserve"> stores &gt; 90 TPR</w:t>
            </w:r>
          </w:p>
        </w:tc>
        <w:tc>
          <w:tcPr>
            <w:tcW w:w="1066" w:type="dxa"/>
          </w:tcPr>
          <w:p w:rsidR="001065E6" w:rsidRPr="00050C42" w:rsidRDefault="001065E6" w:rsidP="00287F33">
            <w:pPr>
              <w:jc w:val="center"/>
            </w:pPr>
            <w:r w:rsidRPr="00050C42">
              <w:t>35%</w:t>
            </w:r>
          </w:p>
        </w:tc>
        <w:tc>
          <w:tcPr>
            <w:tcW w:w="1066" w:type="dxa"/>
          </w:tcPr>
          <w:p w:rsidR="001065E6" w:rsidRPr="00050C42" w:rsidRDefault="001065E6" w:rsidP="00287F33">
            <w:pPr>
              <w:jc w:val="center"/>
            </w:pPr>
            <w:r w:rsidRPr="00050C42">
              <w:t>50%</w:t>
            </w:r>
          </w:p>
        </w:tc>
        <w:tc>
          <w:tcPr>
            <w:tcW w:w="1067" w:type="dxa"/>
          </w:tcPr>
          <w:p w:rsidR="001065E6" w:rsidRPr="00050C42" w:rsidRDefault="001065E6" w:rsidP="00287F33">
            <w:pPr>
              <w:jc w:val="center"/>
            </w:pPr>
            <w:r w:rsidRPr="00050C42">
              <w:t>65%</w:t>
            </w:r>
          </w:p>
        </w:tc>
        <w:tc>
          <w:tcPr>
            <w:tcW w:w="1066" w:type="dxa"/>
          </w:tcPr>
          <w:p w:rsidR="001065E6" w:rsidRPr="00050C42" w:rsidRDefault="001065E6" w:rsidP="00287F33">
            <w:pPr>
              <w:jc w:val="center"/>
            </w:pPr>
            <w:r w:rsidRPr="00050C42">
              <w:t>80%</w:t>
            </w:r>
          </w:p>
        </w:tc>
        <w:tc>
          <w:tcPr>
            <w:tcW w:w="1099" w:type="dxa"/>
          </w:tcPr>
          <w:p w:rsidR="001065E6" w:rsidRPr="00050C42" w:rsidRDefault="001065E6" w:rsidP="00287F33">
            <w:pPr>
              <w:jc w:val="center"/>
            </w:pPr>
            <w:r w:rsidRPr="00050C42">
              <w:t>90%</w:t>
            </w:r>
          </w:p>
        </w:tc>
        <w:tc>
          <w:tcPr>
            <w:tcW w:w="1224" w:type="dxa"/>
          </w:tcPr>
          <w:p w:rsidR="001065E6" w:rsidRPr="00050C42" w:rsidRDefault="001065E6" w:rsidP="00287F33">
            <w:pPr>
              <w:jc w:val="center"/>
            </w:pPr>
            <w:r w:rsidRPr="00050C42">
              <w:t>90%</w:t>
            </w:r>
          </w:p>
        </w:tc>
      </w:tr>
    </w:tbl>
    <w:p w:rsidR="00A953C0" w:rsidRDefault="00A953C0"/>
    <w:p w:rsidR="00A953C0" w:rsidRDefault="00A953C0"/>
    <w:p w:rsidR="00C239F2" w:rsidRDefault="00C239F2">
      <w:r>
        <w:t xml:space="preserve">Below is a plan outline designed to help us achieve our objective in the following </w:t>
      </w:r>
      <w:proofErr w:type="gramStart"/>
      <w:r>
        <w:t>ways:</w:t>
      </w:r>
      <w:proofErr w:type="gramEnd"/>
    </w:p>
    <w:p w:rsidR="002F7634" w:rsidRDefault="00C239F2" w:rsidP="00C239F2">
      <w:pPr>
        <w:pStyle w:val="ListParagraph"/>
        <w:numPr>
          <w:ilvl w:val="0"/>
          <w:numId w:val="5"/>
        </w:numPr>
      </w:pPr>
      <w:r>
        <w:t>Improved consistency and higher standards amongst auditors</w:t>
      </w:r>
    </w:p>
    <w:p w:rsidR="00C239F2" w:rsidRDefault="00C239F2" w:rsidP="00C239F2">
      <w:pPr>
        <w:pStyle w:val="ListParagraph"/>
        <w:numPr>
          <w:ilvl w:val="0"/>
          <w:numId w:val="5"/>
        </w:numPr>
      </w:pPr>
      <w:r>
        <w:t>Raise the bar on what “passing” a TPR means</w:t>
      </w:r>
    </w:p>
    <w:p w:rsidR="00C239F2" w:rsidRDefault="00C239F2" w:rsidP="00C239F2">
      <w:pPr>
        <w:pStyle w:val="ListParagraph"/>
        <w:numPr>
          <w:ilvl w:val="0"/>
          <w:numId w:val="5"/>
        </w:numPr>
      </w:pPr>
      <w:r>
        <w:t>Introduce Google ratings as a scored Customer Satisfaction rating</w:t>
      </w:r>
    </w:p>
    <w:p w:rsidR="00C239F2" w:rsidRDefault="00C239F2">
      <w:pPr>
        <w:rPr>
          <w:b/>
        </w:rPr>
      </w:pPr>
    </w:p>
    <w:p w:rsidR="001065E6" w:rsidRDefault="001065E6">
      <w:pPr>
        <w:rPr>
          <w:b/>
        </w:rPr>
      </w:pPr>
    </w:p>
    <w:p w:rsidR="00A953C0" w:rsidRDefault="00A953C0">
      <w:pPr>
        <w:rPr>
          <w:b/>
        </w:rPr>
      </w:pPr>
    </w:p>
    <w:p w:rsidR="00A953C0" w:rsidRDefault="00A953C0">
      <w:pPr>
        <w:rPr>
          <w:b/>
        </w:rPr>
      </w:pPr>
    </w:p>
    <w:p w:rsidR="00A953C0" w:rsidRDefault="00A953C0">
      <w:pPr>
        <w:rPr>
          <w:b/>
        </w:rPr>
      </w:pPr>
    </w:p>
    <w:p w:rsidR="00A953C0" w:rsidRDefault="00A953C0">
      <w:pPr>
        <w:rPr>
          <w:b/>
        </w:rPr>
      </w:pPr>
    </w:p>
    <w:p w:rsidR="00A953C0" w:rsidRDefault="00A953C0">
      <w:pPr>
        <w:rPr>
          <w:b/>
        </w:rPr>
      </w:pPr>
    </w:p>
    <w:p w:rsidR="00A953C0" w:rsidRDefault="00A953C0">
      <w:pPr>
        <w:rPr>
          <w:b/>
        </w:rPr>
      </w:pPr>
    </w:p>
    <w:p w:rsidR="00A953C0" w:rsidRDefault="00A953C0">
      <w:pPr>
        <w:rPr>
          <w:b/>
        </w:rPr>
      </w:pPr>
    </w:p>
    <w:p w:rsidR="005C4981" w:rsidRPr="0001402C" w:rsidRDefault="002F3A1C">
      <w:pPr>
        <w:rPr>
          <w:b/>
        </w:rPr>
      </w:pPr>
      <w:r w:rsidRPr="0001402C">
        <w:rPr>
          <w:b/>
        </w:rPr>
        <w:lastRenderedPageBreak/>
        <w:t>TPR Auditor Procedures</w:t>
      </w:r>
    </w:p>
    <w:p w:rsidR="002F3A1C" w:rsidRDefault="002F3A1C" w:rsidP="002F3A1C">
      <w:pPr>
        <w:pStyle w:val="ListParagraph"/>
        <w:numPr>
          <w:ilvl w:val="0"/>
          <w:numId w:val="1"/>
        </w:numPr>
      </w:pPr>
      <w:r>
        <w:t xml:space="preserve">Auditors </w:t>
      </w:r>
      <w:r w:rsidR="00567606">
        <w:t>will</w:t>
      </w:r>
      <w:r>
        <w:t xml:space="preserve"> attend 2 in-person</w:t>
      </w:r>
      <w:r w:rsidR="00567606">
        <w:t xml:space="preserve"> and 2 Zoom</w:t>
      </w:r>
      <w:r>
        <w:t xml:space="preserve"> calibra</w:t>
      </w:r>
      <w:r w:rsidR="00235AD9">
        <w:t>tions each year</w:t>
      </w:r>
      <w:r w:rsidR="00A953C0">
        <w:t xml:space="preserve"> to dial in alignment on how each item on the TPR is scored</w:t>
      </w:r>
    </w:p>
    <w:p w:rsidR="002F3A1C" w:rsidRDefault="002F3A1C" w:rsidP="00567606">
      <w:pPr>
        <w:pStyle w:val="ListParagraph"/>
        <w:numPr>
          <w:ilvl w:val="0"/>
          <w:numId w:val="1"/>
        </w:numPr>
      </w:pPr>
      <w:r>
        <w:t>Auditors will place online order</w:t>
      </w:r>
      <w:r w:rsidR="00567606">
        <w:t>s</w:t>
      </w:r>
      <w:r>
        <w:t xml:space="preserve"> to evaluate product</w:t>
      </w:r>
      <w:r w:rsidR="00567606">
        <w:t>, in addition to the</w:t>
      </w:r>
      <w:r w:rsidR="00A953C0">
        <w:t xml:space="preserve"> regular</w:t>
      </w:r>
      <w:r w:rsidR="00567606">
        <w:t xml:space="preserve"> product made during the audit</w:t>
      </w:r>
    </w:p>
    <w:p w:rsidR="004B0CE5" w:rsidRDefault="004B0CE5" w:rsidP="0001402C">
      <w:pPr>
        <w:pStyle w:val="ListParagraph"/>
        <w:numPr>
          <w:ilvl w:val="0"/>
          <w:numId w:val="1"/>
        </w:numPr>
      </w:pPr>
      <w:r>
        <w:t>FBCs</w:t>
      </w:r>
      <w:r w:rsidR="0001402C">
        <w:t xml:space="preserve"> r</w:t>
      </w:r>
      <w:r>
        <w:t>equired to do 2 unannounced audits at each store each year</w:t>
      </w:r>
    </w:p>
    <w:p w:rsidR="002F3A1C" w:rsidRDefault="002F3A1C" w:rsidP="002F3A1C"/>
    <w:p w:rsidR="002F3A1C" w:rsidRPr="0001402C" w:rsidRDefault="002F3A1C" w:rsidP="002F3A1C">
      <w:pPr>
        <w:rPr>
          <w:b/>
        </w:rPr>
      </w:pPr>
      <w:r w:rsidRPr="0001402C">
        <w:rPr>
          <w:b/>
        </w:rPr>
        <w:t>Scoring/Passing</w:t>
      </w:r>
    </w:p>
    <w:p w:rsidR="002F3A1C" w:rsidRDefault="00E969C4" w:rsidP="002F3A1C">
      <w:pPr>
        <w:pStyle w:val="ListParagraph"/>
        <w:numPr>
          <w:ilvl w:val="0"/>
          <w:numId w:val="2"/>
        </w:numPr>
      </w:pPr>
      <w:r>
        <w:t>Pass Criteria</w:t>
      </w:r>
    </w:p>
    <w:p w:rsidR="002F3A1C" w:rsidRDefault="00E969C4" w:rsidP="002F3A1C">
      <w:pPr>
        <w:pStyle w:val="ListParagraph"/>
        <w:numPr>
          <w:ilvl w:val="1"/>
          <w:numId w:val="2"/>
        </w:numPr>
      </w:pPr>
      <w:r>
        <w:t>Overall score above 80%</w:t>
      </w:r>
    </w:p>
    <w:p w:rsidR="00E969C4" w:rsidRDefault="00E969C4" w:rsidP="00E969C4">
      <w:pPr>
        <w:pStyle w:val="ListParagraph"/>
        <w:numPr>
          <w:ilvl w:val="1"/>
          <w:numId w:val="2"/>
        </w:numPr>
      </w:pPr>
      <w:r>
        <w:t>No categories below 70.0%</w:t>
      </w:r>
    </w:p>
    <w:p w:rsidR="00E969C4" w:rsidRDefault="00E969C4" w:rsidP="00E969C4">
      <w:pPr>
        <w:pStyle w:val="ListParagraph"/>
        <w:numPr>
          <w:ilvl w:val="1"/>
          <w:numId w:val="2"/>
        </w:numPr>
      </w:pPr>
      <w:r>
        <w:t>No more than 1 category below 75.0%</w:t>
      </w:r>
    </w:p>
    <w:p w:rsidR="00956682" w:rsidRDefault="00956682" w:rsidP="00E969C4">
      <w:pPr>
        <w:pStyle w:val="ListParagraph"/>
        <w:numPr>
          <w:ilvl w:val="1"/>
          <w:numId w:val="2"/>
        </w:numPr>
      </w:pPr>
      <w:r>
        <w:t>No categories under 80% three or more audits in a row</w:t>
      </w:r>
    </w:p>
    <w:p w:rsidR="00646419" w:rsidRDefault="00E969C4" w:rsidP="00F76278">
      <w:pPr>
        <w:pStyle w:val="ListParagraph"/>
        <w:numPr>
          <w:ilvl w:val="1"/>
          <w:numId w:val="2"/>
        </w:numPr>
      </w:pPr>
      <w:r>
        <w:t>Any failure requires completion of a defined remediation plan</w:t>
      </w:r>
    </w:p>
    <w:p w:rsidR="002F3A1C" w:rsidRDefault="002F3A1C" w:rsidP="002F3A1C">
      <w:pPr>
        <w:pStyle w:val="ListParagraph"/>
        <w:numPr>
          <w:ilvl w:val="0"/>
          <w:numId w:val="2"/>
        </w:numPr>
      </w:pPr>
      <w:r>
        <w:t xml:space="preserve">Punitive </w:t>
      </w:r>
      <w:r w:rsidR="00F76278">
        <w:t>scoring</w:t>
      </w:r>
      <w:r>
        <w:t xml:space="preserve"> when a category is failed</w:t>
      </w:r>
    </w:p>
    <w:p w:rsidR="002F3A1C" w:rsidRDefault="00E32EE3" w:rsidP="002F3A1C">
      <w:pPr>
        <w:pStyle w:val="ListParagraph"/>
        <w:numPr>
          <w:ilvl w:val="1"/>
          <w:numId w:val="2"/>
        </w:numPr>
      </w:pPr>
      <w:r>
        <w:t>Subtract 3</w:t>
      </w:r>
      <w:r w:rsidR="002F3A1C">
        <w:t>% from overall score</w:t>
      </w:r>
      <w:r>
        <w:t xml:space="preserve"> for </w:t>
      </w:r>
      <w:r w:rsidR="00C239F2">
        <w:t>every</w:t>
      </w:r>
      <w:r>
        <w:t xml:space="preserve"> failing categories</w:t>
      </w:r>
    </w:p>
    <w:p w:rsidR="00DC3A76" w:rsidRPr="00DC3A76" w:rsidRDefault="00DC3A76" w:rsidP="00DC3A76">
      <w:pPr>
        <w:rPr>
          <w:i/>
        </w:rPr>
      </w:pPr>
      <w:r w:rsidRPr="00DC3A76">
        <w:rPr>
          <w:i/>
        </w:rPr>
        <w:t>*Stores that don’t pass a TPR will be required to complete a TPR Recovery Plan</w:t>
      </w:r>
    </w:p>
    <w:p w:rsidR="00C239F2" w:rsidRDefault="00C239F2" w:rsidP="00C239F2">
      <w:pPr>
        <w:pStyle w:val="ListParagraph"/>
      </w:pPr>
    </w:p>
    <w:p w:rsidR="00A953C0" w:rsidRDefault="00A953C0" w:rsidP="00C239F2">
      <w:pPr>
        <w:rPr>
          <w:b/>
        </w:rPr>
      </w:pPr>
    </w:p>
    <w:p w:rsidR="002F3A1C" w:rsidRDefault="002F3A1C" w:rsidP="00C239F2">
      <w:pPr>
        <w:rPr>
          <w:b/>
        </w:rPr>
      </w:pPr>
      <w:r w:rsidRPr="00C239F2">
        <w:rPr>
          <w:b/>
        </w:rPr>
        <w:t>Customer Satisfaction</w:t>
      </w:r>
      <w:r w:rsidR="00FA5E9F" w:rsidRPr="00C239F2">
        <w:rPr>
          <w:b/>
        </w:rPr>
        <w:t xml:space="preserve"> scoring</w:t>
      </w:r>
      <w:r w:rsidR="00C239F2">
        <w:rPr>
          <w:b/>
        </w:rPr>
        <w:t xml:space="preserve"> (Google ratings)</w:t>
      </w:r>
    </w:p>
    <w:p w:rsidR="00174D20" w:rsidRDefault="00174D20" w:rsidP="00C239F2">
      <w:r>
        <w:t>In addi</w:t>
      </w:r>
      <w:r w:rsidR="001065E6">
        <w:t>tion to the scoring criteria, Toppers</w:t>
      </w:r>
      <w:r>
        <w:t xml:space="preserve"> will provide a </w:t>
      </w:r>
      <w:r w:rsidR="001065E6">
        <w:t>posting that outlines how to rapidly increase Google ratings</w:t>
      </w:r>
      <w:r>
        <w:t xml:space="preserve">. </w:t>
      </w:r>
      <w:r w:rsidR="001065E6">
        <w:t>FBCs and PPI Supervisors</w:t>
      </w:r>
      <w:r>
        <w:t xml:space="preserve"> will be well-versed in these processes.</w:t>
      </w:r>
    </w:p>
    <w:p w:rsidR="00174D20" w:rsidRPr="00174D20" w:rsidRDefault="00174D20" w:rsidP="001065E6">
      <w:pPr>
        <w:pStyle w:val="ListParagraph"/>
      </w:pPr>
    </w:p>
    <w:tbl>
      <w:tblPr>
        <w:tblStyle w:val="TableGrid"/>
        <w:tblW w:w="8174" w:type="dxa"/>
        <w:tblLook w:val="04A0" w:firstRow="1" w:lastRow="0" w:firstColumn="1" w:lastColumn="0" w:noHBand="0" w:noVBand="1"/>
      </w:tblPr>
      <w:tblGrid>
        <w:gridCol w:w="1596"/>
        <w:gridCol w:w="1790"/>
        <w:gridCol w:w="1596"/>
        <w:gridCol w:w="1596"/>
        <w:gridCol w:w="1596"/>
      </w:tblGrid>
      <w:tr w:rsidR="004B0CE5" w:rsidTr="004B0CE5">
        <w:tc>
          <w:tcPr>
            <w:tcW w:w="1596" w:type="dxa"/>
          </w:tcPr>
          <w:p w:rsidR="004B0CE5" w:rsidRDefault="004B0CE5" w:rsidP="0090676B">
            <w:pPr>
              <w:jc w:val="center"/>
            </w:pPr>
          </w:p>
        </w:tc>
        <w:tc>
          <w:tcPr>
            <w:tcW w:w="1790" w:type="dxa"/>
          </w:tcPr>
          <w:p w:rsidR="004B0CE5" w:rsidRDefault="004B0CE5" w:rsidP="0090676B">
            <w:pPr>
              <w:jc w:val="center"/>
            </w:pPr>
            <w:r>
              <w:t>25</w:t>
            </w:r>
          </w:p>
        </w:tc>
        <w:tc>
          <w:tcPr>
            <w:tcW w:w="1596" w:type="dxa"/>
          </w:tcPr>
          <w:p w:rsidR="004B0CE5" w:rsidRDefault="004B0CE5" w:rsidP="0090676B">
            <w:pPr>
              <w:jc w:val="center"/>
            </w:pPr>
            <w:r>
              <w:t>10</w:t>
            </w:r>
          </w:p>
        </w:tc>
        <w:tc>
          <w:tcPr>
            <w:tcW w:w="1596" w:type="dxa"/>
          </w:tcPr>
          <w:p w:rsidR="004B0CE5" w:rsidRDefault="004B0CE5" w:rsidP="0090676B">
            <w:pPr>
              <w:jc w:val="center"/>
            </w:pPr>
            <w:r>
              <w:t>0</w:t>
            </w:r>
          </w:p>
        </w:tc>
        <w:tc>
          <w:tcPr>
            <w:tcW w:w="1596" w:type="dxa"/>
          </w:tcPr>
          <w:p w:rsidR="004B0CE5" w:rsidRDefault="004B0CE5" w:rsidP="0090676B">
            <w:pPr>
              <w:jc w:val="center"/>
            </w:pPr>
            <w:r>
              <w:t>Critical</w:t>
            </w:r>
          </w:p>
        </w:tc>
      </w:tr>
      <w:tr w:rsidR="00E9130A" w:rsidTr="004B0CE5">
        <w:tc>
          <w:tcPr>
            <w:tcW w:w="1596" w:type="dxa"/>
          </w:tcPr>
          <w:p w:rsidR="00E9130A" w:rsidRDefault="00E9130A" w:rsidP="0090676B">
            <w:pPr>
              <w:jc w:val="center"/>
            </w:pPr>
            <w:r>
              <w:t>Q1 (no pts)</w:t>
            </w:r>
          </w:p>
        </w:tc>
        <w:tc>
          <w:tcPr>
            <w:tcW w:w="1790" w:type="dxa"/>
          </w:tcPr>
          <w:p w:rsidR="00E9130A" w:rsidRDefault="00E9130A" w:rsidP="000747D3">
            <w:r>
              <w:t xml:space="preserve">3.8 and above </w:t>
            </w:r>
          </w:p>
        </w:tc>
        <w:tc>
          <w:tcPr>
            <w:tcW w:w="1596" w:type="dxa"/>
          </w:tcPr>
          <w:p w:rsidR="00E9130A" w:rsidRDefault="00E9130A" w:rsidP="000747D3">
            <w:pPr>
              <w:jc w:val="center"/>
            </w:pPr>
            <w:r>
              <w:t>3.6 – 3.7</w:t>
            </w:r>
          </w:p>
        </w:tc>
        <w:tc>
          <w:tcPr>
            <w:tcW w:w="1596" w:type="dxa"/>
          </w:tcPr>
          <w:p w:rsidR="00E9130A" w:rsidRDefault="00E9130A" w:rsidP="000747D3">
            <w:pPr>
              <w:jc w:val="center"/>
            </w:pPr>
            <w:r>
              <w:t>3.5 or below</w:t>
            </w:r>
          </w:p>
        </w:tc>
        <w:tc>
          <w:tcPr>
            <w:tcW w:w="1596" w:type="dxa"/>
          </w:tcPr>
          <w:p w:rsidR="00E9130A" w:rsidRDefault="00E9130A" w:rsidP="000747D3">
            <w:pPr>
              <w:jc w:val="center"/>
            </w:pPr>
            <w:r>
              <w:t>3.4 or below</w:t>
            </w:r>
          </w:p>
        </w:tc>
      </w:tr>
      <w:tr w:rsidR="00E9130A" w:rsidTr="004B0CE5">
        <w:tc>
          <w:tcPr>
            <w:tcW w:w="1596" w:type="dxa"/>
          </w:tcPr>
          <w:p w:rsidR="00E9130A" w:rsidRDefault="00E9130A" w:rsidP="0090676B">
            <w:pPr>
              <w:jc w:val="center"/>
            </w:pPr>
            <w:r>
              <w:t>Q2</w:t>
            </w:r>
          </w:p>
        </w:tc>
        <w:tc>
          <w:tcPr>
            <w:tcW w:w="1790" w:type="dxa"/>
          </w:tcPr>
          <w:p w:rsidR="00E9130A" w:rsidRDefault="00E9130A" w:rsidP="000747D3">
            <w:r>
              <w:t xml:space="preserve">3.8 and above </w:t>
            </w:r>
          </w:p>
        </w:tc>
        <w:tc>
          <w:tcPr>
            <w:tcW w:w="1596" w:type="dxa"/>
          </w:tcPr>
          <w:p w:rsidR="00E9130A" w:rsidRDefault="00E9130A" w:rsidP="000747D3">
            <w:pPr>
              <w:jc w:val="center"/>
            </w:pPr>
            <w:r>
              <w:t>3.6 – 3.7</w:t>
            </w:r>
          </w:p>
        </w:tc>
        <w:tc>
          <w:tcPr>
            <w:tcW w:w="1596" w:type="dxa"/>
          </w:tcPr>
          <w:p w:rsidR="00E9130A" w:rsidRDefault="00E9130A" w:rsidP="000747D3">
            <w:pPr>
              <w:jc w:val="center"/>
            </w:pPr>
            <w:r>
              <w:t>3.5 or below</w:t>
            </w:r>
          </w:p>
        </w:tc>
        <w:tc>
          <w:tcPr>
            <w:tcW w:w="1596" w:type="dxa"/>
          </w:tcPr>
          <w:p w:rsidR="00E9130A" w:rsidRDefault="00E9130A" w:rsidP="000747D3">
            <w:pPr>
              <w:jc w:val="center"/>
            </w:pPr>
            <w:r>
              <w:t>3.4 or below</w:t>
            </w:r>
          </w:p>
        </w:tc>
      </w:tr>
      <w:tr w:rsidR="00E9130A" w:rsidTr="004B0CE5">
        <w:tc>
          <w:tcPr>
            <w:tcW w:w="1596" w:type="dxa"/>
          </w:tcPr>
          <w:p w:rsidR="00E9130A" w:rsidRDefault="00E9130A" w:rsidP="0090676B">
            <w:pPr>
              <w:jc w:val="center"/>
            </w:pPr>
            <w:r>
              <w:t>Q3</w:t>
            </w:r>
          </w:p>
        </w:tc>
        <w:tc>
          <w:tcPr>
            <w:tcW w:w="1790" w:type="dxa"/>
          </w:tcPr>
          <w:p w:rsidR="00E9130A" w:rsidRDefault="00E9130A" w:rsidP="000747D3">
            <w:r>
              <w:t xml:space="preserve">3.8 and above </w:t>
            </w:r>
          </w:p>
        </w:tc>
        <w:tc>
          <w:tcPr>
            <w:tcW w:w="1596" w:type="dxa"/>
          </w:tcPr>
          <w:p w:rsidR="00E9130A" w:rsidRDefault="00E9130A" w:rsidP="000747D3">
            <w:pPr>
              <w:jc w:val="center"/>
            </w:pPr>
            <w:r>
              <w:t>3.6 – 3.7</w:t>
            </w:r>
          </w:p>
        </w:tc>
        <w:tc>
          <w:tcPr>
            <w:tcW w:w="1596" w:type="dxa"/>
          </w:tcPr>
          <w:p w:rsidR="00E9130A" w:rsidRDefault="00E9130A" w:rsidP="000747D3">
            <w:pPr>
              <w:jc w:val="center"/>
            </w:pPr>
            <w:r>
              <w:t>3.5 or below</w:t>
            </w:r>
          </w:p>
        </w:tc>
        <w:tc>
          <w:tcPr>
            <w:tcW w:w="1596" w:type="dxa"/>
          </w:tcPr>
          <w:p w:rsidR="00E9130A" w:rsidRDefault="00E9130A" w:rsidP="000747D3">
            <w:pPr>
              <w:jc w:val="center"/>
            </w:pPr>
            <w:r>
              <w:t>3.4 or below</w:t>
            </w:r>
          </w:p>
        </w:tc>
      </w:tr>
      <w:tr w:rsidR="00E9130A" w:rsidTr="004B0CE5">
        <w:tc>
          <w:tcPr>
            <w:tcW w:w="1596" w:type="dxa"/>
          </w:tcPr>
          <w:p w:rsidR="00E9130A" w:rsidRDefault="00E9130A" w:rsidP="0090676B">
            <w:pPr>
              <w:jc w:val="center"/>
            </w:pPr>
            <w:r>
              <w:t>Q4</w:t>
            </w:r>
          </w:p>
        </w:tc>
        <w:tc>
          <w:tcPr>
            <w:tcW w:w="1790" w:type="dxa"/>
          </w:tcPr>
          <w:p w:rsidR="00E9130A" w:rsidRDefault="00E9130A" w:rsidP="000747D3">
            <w:r>
              <w:t xml:space="preserve">3.9 and above </w:t>
            </w:r>
          </w:p>
        </w:tc>
        <w:tc>
          <w:tcPr>
            <w:tcW w:w="1596" w:type="dxa"/>
          </w:tcPr>
          <w:p w:rsidR="00E9130A" w:rsidRDefault="00E9130A" w:rsidP="000747D3">
            <w:pPr>
              <w:jc w:val="center"/>
            </w:pPr>
            <w:r>
              <w:t>3.7 – 3.8</w:t>
            </w:r>
          </w:p>
        </w:tc>
        <w:tc>
          <w:tcPr>
            <w:tcW w:w="1596" w:type="dxa"/>
          </w:tcPr>
          <w:p w:rsidR="00E9130A" w:rsidRDefault="00E9130A" w:rsidP="000747D3">
            <w:pPr>
              <w:jc w:val="center"/>
            </w:pPr>
            <w:r>
              <w:t>3.6 or below</w:t>
            </w:r>
          </w:p>
        </w:tc>
        <w:tc>
          <w:tcPr>
            <w:tcW w:w="1596" w:type="dxa"/>
          </w:tcPr>
          <w:p w:rsidR="00E9130A" w:rsidRDefault="00E9130A" w:rsidP="000747D3">
            <w:pPr>
              <w:jc w:val="center"/>
            </w:pPr>
            <w:r>
              <w:t>3.5 or below</w:t>
            </w:r>
          </w:p>
        </w:tc>
      </w:tr>
      <w:tr w:rsidR="00F76278" w:rsidTr="004B0CE5">
        <w:tc>
          <w:tcPr>
            <w:tcW w:w="1596" w:type="dxa"/>
          </w:tcPr>
          <w:p w:rsidR="00F76278" w:rsidRDefault="00F76278" w:rsidP="0090676B">
            <w:pPr>
              <w:jc w:val="center"/>
            </w:pPr>
            <w:r>
              <w:t>Q1 2022</w:t>
            </w:r>
          </w:p>
        </w:tc>
        <w:tc>
          <w:tcPr>
            <w:tcW w:w="1790" w:type="dxa"/>
          </w:tcPr>
          <w:p w:rsidR="00F76278" w:rsidRDefault="00F76278" w:rsidP="000747D3">
            <w:r>
              <w:t>3.9 and above</w:t>
            </w:r>
          </w:p>
        </w:tc>
        <w:tc>
          <w:tcPr>
            <w:tcW w:w="1596" w:type="dxa"/>
          </w:tcPr>
          <w:p w:rsidR="00F76278" w:rsidRDefault="00F76278" w:rsidP="00AC1B23">
            <w:pPr>
              <w:jc w:val="center"/>
            </w:pPr>
            <w:r>
              <w:t>3.7 – 3.8</w:t>
            </w:r>
          </w:p>
        </w:tc>
        <w:tc>
          <w:tcPr>
            <w:tcW w:w="1596" w:type="dxa"/>
          </w:tcPr>
          <w:p w:rsidR="00F76278" w:rsidRDefault="00F76278" w:rsidP="00AC1B23">
            <w:pPr>
              <w:jc w:val="center"/>
            </w:pPr>
            <w:r>
              <w:t>3.6 or below</w:t>
            </w:r>
          </w:p>
        </w:tc>
        <w:tc>
          <w:tcPr>
            <w:tcW w:w="1596" w:type="dxa"/>
          </w:tcPr>
          <w:p w:rsidR="00F76278" w:rsidRDefault="00F76278" w:rsidP="00AC1B23">
            <w:pPr>
              <w:jc w:val="center"/>
            </w:pPr>
            <w:r>
              <w:t>3.5 or below</w:t>
            </w:r>
          </w:p>
        </w:tc>
      </w:tr>
      <w:tr w:rsidR="00F76278" w:rsidTr="004B0CE5">
        <w:tc>
          <w:tcPr>
            <w:tcW w:w="1596" w:type="dxa"/>
          </w:tcPr>
          <w:p w:rsidR="00F76278" w:rsidRDefault="00F76278" w:rsidP="0090676B">
            <w:pPr>
              <w:jc w:val="center"/>
            </w:pPr>
            <w:r>
              <w:t>Q2 2022</w:t>
            </w:r>
          </w:p>
        </w:tc>
        <w:tc>
          <w:tcPr>
            <w:tcW w:w="1790" w:type="dxa"/>
          </w:tcPr>
          <w:p w:rsidR="00F76278" w:rsidRDefault="00F76278" w:rsidP="000747D3">
            <w:r>
              <w:t>4.0 and above</w:t>
            </w:r>
          </w:p>
        </w:tc>
        <w:tc>
          <w:tcPr>
            <w:tcW w:w="1596" w:type="dxa"/>
          </w:tcPr>
          <w:p w:rsidR="00F76278" w:rsidRDefault="00F76278" w:rsidP="00F76278">
            <w:pPr>
              <w:jc w:val="center"/>
            </w:pPr>
            <w:r>
              <w:t>3.8 – 3.9</w:t>
            </w:r>
          </w:p>
        </w:tc>
        <w:tc>
          <w:tcPr>
            <w:tcW w:w="1596" w:type="dxa"/>
          </w:tcPr>
          <w:p w:rsidR="00F76278" w:rsidRDefault="00F76278" w:rsidP="00F76278">
            <w:pPr>
              <w:jc w:val="center"/>
            </w:pPr>
            <w:r>
              <w:t>3.7 or below</w:t>
            </w:r>
          </w:p>
        </w:tc>
        <w:tc>
          <w:tcPr>
            <w:tcW w:w="1596" w:type="dxa"/>
          </w:tcPr>
          <w:p w:rsidR="00F76278" w:rsidRDefault="00F76278" w:rsidP="00F76278">
            <w:pPr>
              <w:jc w:val="center"/>
            </w:pPr>
            <w:r>
              <w:t>3.6 or below</w:t>
            </w:r>
          </w:p>
        </w:tc>
      </w:tr>
    </w:tbl>
    <w:p w:rsidR="00C239F2" w:rsidRDefault="00C239F2" w:rsidP="00C239F2">
      <w:pPr>
        <w:rPr>
          <w:b/>
        </w:rPr>
      </w:pPr>
    </w:p>
    <w:p w:rsidR="006D5EBE" w:rsidRDefault="006D5EBE" w:rsidP="00C239F2">
      <w:pPr>
        <w:rPr>
          <w:b/>
        </w:rPr>
      </w:pPr>
    </w:p>
    <w:p w:rsidR="00A953C0" w:rsidRDefault="00A953C0" w:rsidP="00C239F2">
      <w:pPr>
        <w:rPr>
          <w:b/>
        </w:rPr>
      </w:pPr>
    </w:p>
    <w:p w:rsidR="00A953C0" w:rsidRDefault="00A953C0" w:rsidP="00C239F2">
      <w:pPr>
        <w:rPr>
          <w:b/>
        </w:rPr>
      </w:pPr>
      <w:bookmarkStart w:id="0" w:name="_GoBack"/>
      <w:bookmarkEnd w:id="0"/>
    </w:p>
    <w:sectPr w:rsidR="00A95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56348"/>
    <w:multiLevelType w:val="hybridMultilevel"/>
    <w:tmpl w:val="38C2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A2BF3"/>
    <w:multiLevelType w:val="hybridMultilevel"/>
    <w:tmpl w:val="84A66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63DA1"/>
    <w:multiLevelType w:val="hybridMultilevel"/>
    <w:tmpl w:val="1CBE0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434281"/>
    <w:multiLevelType w:val="hybridMultilevel"/>
    <w:tmpl w:val="40903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633AE9"/>
    <w:multiLevelType w:val="hybridMultilevel"/>
    <w:tmpl w:val="59E06E0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5B615D45"/>
    <w:multiLevelType w:val="hybridMultilevel"/>
    <w:tmpl w:val="F046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A1C"/>
    <w:rsid w:val="0001402C"/>
    <w:rsid w:val="001065E6"/>
    <w:rsid w:val="00174D20"/>
    <w:rsid w:val="00217F45"/>
    <w:rsid w:val="00235AD9"/>
    <w:rsid w:val="002F3A1C"/>
    <w:rsid w:val="002F7634"/>
    <w:rsid w:val="003D474E"/>
    <w:rsid w:val="00465DB6"/>
    <w:rsid w:val="004B0CE5"/>
    <w:rsid w:val="00522B2F"/>
    <w:rsid w:val="00525FD3"/>
    <w:rsid w:val="00567606"/>
    <w:rsid w:val="005C26F4"/>
    <w:rsid w:val="005C4981"/>
    <w:rsid w:val="005F5076"/>
    <w:rsid w:val="00646419"/>
    <w:rsid w:val="006D5EBE"/>
    <w:rsid w:val="00734F8D"/>
    <w:rsid w:val="00765693"/>
    <w:rsid w:val="007D10EE"/>
    <w:rsid w:val="009035B1"/>
    <w:rsid w:val="0090676B"/>
    <w:rsid w:val="00910BB4"/>
    <w:rsid w:val="00956682"/>
    <w:rsid w:val="009868EB"/>
    <w:rsid w:val="00A6620E"/>
    <w:rsid w:val="00A953C0"/>
    <w:rsid w:val="00C239F2"/>
    <w:rsid w:val="00DC3A76"/>
    <w:rsid w:val="00E32EE3"/>
    <w:rsid w:val="00E67ED7"/>
    <w:rsid w:val="00E85194"/>
    <w:rsid w:val="00E9130A"/>
    <w:rsid w:val="00E969C4"/>
    <w:rsid w:val="00EF3CFC"/>
    <w:rsid w:val="00F76278"/>
    <w:rsid w:val="00FA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A1C"/>
    <w:pPr>
      <w:ind w:left="720"/>
      <w:contextualSpacing/>
    </w:pPr>
  </w:style>
  <w:style w:type="table" w:styleId="TableGrid">
    <w:name w:val="Table Grid"/>
    <w:basedOn w:val="TableNormal"/>
    <w:uiPriority w:val="59"/>
    <w:rsid w:val="0090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A1C"/>
    <w:pPr>
      <w:ind w:left="720"/>
      <w:contextualSpacing/>
    </w:pPr>
  </w:style>
  <w:style w:type="table" w:styleId="TableGrid">
    <w:name w:val="Table Grid"/>
    <w:basedOn w:val="TableNormal"/>
    <w:uiPriority w:val="59"/>
    <w:rsid w:val="0090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1341</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Martin</dc:creator>
  <cp:lastModifiedBy>Matt Martin</cp:lastModifiedBy>
  <cp:revision>23</cp:revision>
  <dcterms:created xsi:type="dcterms:W3CDTF">2020-11-30T18:32:00Z</dcterms:created>
  <dcterms:modified xsi:type="dcterms:W3CDTF">2021-02-15T19:52:00Z</dcterms:modified>
</cp:coreProperties>
</file>